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2" w:type="dxa"/>
        <w:tblLayout w:type="fixed"/>
        <w:tblCellMar>
          <w:left w:w="70" w:type="dxa"/>
          <w:right w:w="70" w:type="dxa"/>
        </w:tblCellMar>
        <w:tblLook w:val="04A0" w:firstRow="1" w:lastRow="0" w:firstColumn="1" w:lastColumn="0" w:noHBand="0" w:noVBand="1"/>
      </w:tblPr>
      <w:tblGrid>
        <w:gridCol w:w="4482"/>
        <w:gridCol w:w="905"/>
        <w:gridCol w:w="3827"/>
      </w:tblGrid>
      <w:tr w:rsidR="00A065E4" w:rsidRPr="00A065E4" w:rsidTr="00A065E4">
        <w:trPr>
          <w:cantSplit/>
          <w:trHeight w:val="1843"/>
        </w:trPr>
        <w:tc>
          <w:tcPr>
            <w:tcW w:w="5387" w:type="dxa"/>
            <w:gridSpan w:val="2"/>
          </w:tcPr>
          <w:p w:rsidR="00A065E4" w:rsidRDefault="00A065E4">
            <w:pPr>
              <w:rPr>
                <w:b/>
              </w:rPr>
            </w:pPr>
            <w:r>
              <w:rPr>
                <w:b/>
                <w:noProof/>
                <w:lang w:val="en-GB" w:eastAsia="en-GB"/>
              </w:rPr>
              <w:drawing>
                <wp:inline distT="0" distB="0" distL="0" distR="0">
                  <wp:extent cx="1628775" cy="84010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840105"/>
                          </a:xfrm>
                          <a:prstGeom prst="rect">
                            <a:avLst/>
                          </a:prstGeom>
                          <a:noFill/>
                          <a:ln>
                            <a:noFill/>
                          </a:ln>
                        </pic:spPr>
                      </pic:pic>
                    </a:graphicData>
                  </a:graphic>
                </wp:inline>
              </w:drawing>
            </w:r>
          </w:p>
          <w:p w:rsidR="00A065E4" w:rsidRDefault="00A065E4">
            <w:pPr>
              <w:rPr>
                <w:b/>
              </w:rPr>
            </w:pPr>
          </w:p>
        </w:tc>
        <w:tc>
          <w:tcPr>
            <w:tcW w:w="3827" w:type="dxa"/>
            <w:hideMark/>
          </w:tcPr>
          <w:p w:rsidR="00A065E4" w:rsidRDefault="00C729CB">
            <w:pPr>
              <w:rPr>
                <w:b/>
              </w:rPr>
            </w:pPr>
            <w:r>
              <w:rPr>
                <w:b/>
              </w:rPr>
              <w:t>Doc. ECC/CPG15(13)004</w:t>
            </w:r>
            <w:bookmarkStart w:id="0" w:name="_GoBack"/>
            <w:bookmarkEnd w:id="0"/>
            <w:r w:rsidR="00A065E4">
              <w:rPr>
                <w:b/>
              </w:rPr>
              <w:t xml:space="preserve"> Annex 7</w:t>
            </w:r>
          </w:p>
        </w:tc>
      </w:tr>
      <w:tr w:rsidR="00A065E4" w:rsidTr="00A065E4">
        <w:trPr>
          <w:cantSplit/>
        </w:trPr>
        <w:tc>
          <w:tcPr>
            <w:tcW w:w="4482" w:type="dxa"/>
            <w:tcMar>
              <w:top w:w="0" w:type="dxa"/>
              <w:left w:w="108" w:type="dxa"/>
              <w:bottom w:w="0" w:type="dxa"/>
              <w:right w:w="108" w:type="dxa"/>
            </w:tcMar>
            <w:hideMark/>
          </w:tcPr>
          <w:p w:rsidR="00A065E4" w:rsidRDefault="00A065E4">
            <w:pPr>
              <w:rPr>
                <w:b/>
              </w:rPr>
            </w:pPr>
            <w:r>
              <w:rPr>
                <w:b/>
              </w:rPr>
              <w:t>CPG15 – 2</w:t>
            </w:r>
          </w:p>
          <w:p w:rsidR="00A065E4" w:rsidRDefault="00A065E4">
            <w:pPr>
              <w:rPr>
                <w:b/>
              </w:rPr>
            </w:pPr>
            <w:r>
              <w:rPr>
                <w:b/>
              </w:rPr>
              <w:t>Luxembourg, 22 – 25 January 2013</w:t>
            </w:r>
          </w:p>
        </w:tc>
        <w:tc>
          <w:tcPr>
            <w:tcW w:w="4732" w:type="dxa"/>
            <w:gridSpan w:val="2"/>
            <w:tcMar>
              <w:top w:w="0" w:type="dxa"/>
              <w:left w:w="108" w:type="dxa"/>
              <w:bottom w:w="0" w:type="dxa"/>
              <w:right w:w="108" w:type="dxa"/>
            </w:tcMar>
          </w:tcPr>
          <w:p w:rsidR="00A065E4" w:rsidRDefault="00A065E4"/>
        </w:tc>
      </w:tr>
      <w:tr w:rsidR="00A065E4" w:rsidRPr="00A065E4" w:rsidTr="00A065E4">
        <w:trPr>
          <w:cantSplit/>
        </w:trPr>
        <w:tc>
          <w:tcPr>
            <w:tcW w:w="9214" w:type="dxa"/>
            <w:gridSpan w:val="3"/>
            <w:tcBorders>
              <w:top w:val="nil"/>
              <w:left w:val="nil"/>
              <w:bottom w:val="single" w:sz="4" w:space="0" w:color="auto"/>
              <w:right w:val="nil"/>
            </w:tcBorders>
            <w:tcMar>
              <w:top w:w="0" w:type="dxa"/>
              <w:left w:w="108" w:type="dxa"/>
              <w:bottom w:w="0" w:type="dxa"/>
              <w:right w:w="108" w:type="dxa"/>
            </w:tcMar>
          </w:tcPr>
          <w:p w:rsidR="00A065E4" w:rsidRDefault="00A065E4">
            <w:r>
              <w:rPr>
                <w:b/>
              </w:rPr>
              <w:t>Date issued:</w:t>
            </w:r>
            <w:r>
              <w:t xml:space="preserve">   15 January 2012</w:t>
            </w:r>
            <w:r>
              <w:tab/>
            </w:r>
          </w:p>
          <w:p w:rsidR="00A065E4" w:rsidRDefault="00A065E4">
            <w:r>
              <w:rPr>
                <w:b/>
              </w:rPr>
              <w:t>Source:</w:t>
            </w:r>
            <w:r>
              <w:tab/>
              <w:t>CPG PTB</w:t>
            </w:r>
          </w:p>
          <w:p w:rsidR="00A065E4" w:rsidRDefault="00A065E4">
            <w:r>
              <w:rPr>
                <w:b/>
              </w:rPr>
              <w:t>Subject:</w:t>
            </w:r>
            <w:r>
              <w:t xml:space="preserve"> Draft CEPT brief on WRC-15 agenda item 9, issue 9.1.1</w:t>
            </w:r>
          </w:p>
          <w:p w:rsidR="00A065E4" w:rsidRDefault="00A065E4">
            <w:pPr>
              <w:rPr>
                <w:b/>
              </w:rPr>
            </w:pPr>
          </w:p>
        </w:tc>
      </w:tr>
      <w:tr w:rsidR="00A065E4" w:rsidTr="00A065E4">
        <w:trPr>
          <w:cantSplit/>
        </w:trPr>
        <w:tc>
          <w:tcPr>
            <w:tcW w:w="9214"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A065E4" w:rsidRDefault="00A065E4">
            <w:pPr>
              <w:rPr>
                <w:b/>
              </w:rPr>
            </w:pPr>
            <w:r>
              <w:rPr>
                <w:b/>
              </w:rPr>
              <w:t xml:space="preserve">Summary: </w:t>
            </w:r>
          </w:p>
        </w:tc>
      </w:tr>
      <w:tr w:rsidR="00A065E4" w:rsidTr="00A065E4">
        <w:trPr>
          <w:cantSplit/>
        </w:trPr>
        <w:tc>
          <w:tcPr>
            <w:tcW w:w="9214"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p w:rsidR="00A065E4" w:rsidRDefault="00A065E4"/>
        </w:tc>
      </w:tr>
      <w:tr w:rsidR="00A065E4" w:rsidTr="00A065E4">
        <w:trPr>
          <w:cantSplit/>
        </w:trPr>
        <w:tc>
          <w:tcPr>
            <w:tcW w:w="9214"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A065E4" w:rsidRDefault="00A065E4">
            <w:pPr>
              <w:rPr>
                <w:b/>
              </w:rPr>
            </w:pPr>
            <w:r>
              <w:rPr>
                <w:b/>
              </w:rPr>
              <w:t xml:space="preserve">Proposal: </w:t>
            </w:r>
          </w:p>
        </w:tc>
      </w:tr>
      <w:tr w:rsidR="00A065E4" w:rsidRPr="00A065E4" w:rsidTr="00A065E4">
        <w:trPr>
          <w:cantSplit/>
        </w:trPr>
        <w:tc>
          <w:tcPr>
            <w:tcW w:w="9214"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p w:rsidR="00A065E4" w:rsidRDefault="00A065E4">
            <w:r>
              <w:t>CPG is invited to consider and approve the attached draft Brief on WRC-15 Agenda item 9, issue 9.1.1.</w:t>
            </w:r>
          </w:p>
          <w:p w:rsidR="00A065E4" w:rsidRDefault="00A065E4"/>
          <w:p w:rsidR="00A065E4" w:rsidRDefault="00A065E4">
            <w:pPr>
              <w:rPr>
                <w:b/>
              </w:rPr>
            </w:pPr>
            <w:r>
              <w:rPr>
                <w:b/>
              </w:rPr>
              <w:t xml:space="preserve"> </w:t>
            </w:r>
          </w:p>
        </w:tc>
      </w:tr>
      <w:tr w:rsidR="00A065E4" w:rsidTr="00A065E4">
        <w:trPr>
          <w:cantSplit/>
        </w:trPr>
        <w:tc>
          <w:tcPr>
            <w:tcW w:w="9214"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A065E4" w:rsidRDefault="00A065E4">
            <w:pPr>
              <w:rPr>
                <w:b/>
              </w:rPr>
            </w:pPr>
            <w:r>
              <w:rPr>
                <w:b/>
              </w:rPr>
              <w:t>Background:</w:t>
            </w:r>
            <w:r>
              <w:rPr>
                <w:b/>
              </w:rPr>
              <w:tab/>
            </w:r>
          </w:p>
        </w:tc>
      </w:tr>
      <w:tr w:rsidR="00A065E4" w:rsidTr="00A065E4">
        <w:trPr>
          <w:cantSplit/>
        </w:trPr>
        <w:tc>
          <w:tcPr>
            <w:tcW w:w="9214"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p w:rsidR="00A065E4" w:rsidRDefault="00A065E4">
            <w:pPr>
              <w:rPr>
                <w:szCs w:val="20"/>
              </w:rPr>
            </w:pPr>
          </w:p>
        </w:tc>
      </w:tr>
    </w:tbl>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rPr>
          <w:b/>
          <w:sz w:val="24"/>
        </w:rPr>
      </w:pPr>
    </w:p>
    <w:p w:rsidR="008A54FC" w:rsidRPr="00183FE0" w:rsidRDefault="008A54FC" w:rsidP="008A54FC">
      <w:pPr>
        <w:pStyle w:val="Lastupdated"/>
        <w:rPr>
          <w:b/>
        </w:rPr>
      </w:pPr>
    </w:p>
    <w:p w:rsidR="008A54FC" w:rsidRDefault="008A54FC">
      <w:pPr>
        <w:rPr>
          <w:lang w:val="en-GB"/>
        </w:rPr>
        <w:sectPr w:rsidR="008A54FC">
          <w:headerReference w:type="even" r:id="rId10"/>
          <w:headerReference w:type="default" r:id="rId11"/>
          <w:pgSz w:w="11907" w:h="16840" w:code="9"/>
          <w:pgMar w:top="1440" w:right="1134" w:bottom="1440" w:left="1134" w:header="709" w:footer="709" w:gutter="0"/>
          <w:cols w:space="708"/>
          <w:titlePg/>
          <w:docGrid w:linePitch="360"/>
        </w:sectPr>
      </w:pPr>
    </w:p>
    <w:p w:rsidR="00B25463" w:rsidRPr="00005CA4" w:rsidRDefault="00B25463" w:rsidP="0029448B">
      <w:pPr>
        <w:rPr>
          <w:b/>
          <w:color w:val="C00000"/>
        </w:rPr>
      </w:pPr>
      <w:r w:rsidRPr="00005CA4">
        <w:rPr>
          <w:b/>
          <w:color w:val="C00000"/>
        </w:rPr>
        <w:lastRenderedPageBreak/>
        <w:t xml:space="preserve">DRAFT CEPT BRIEF ON AGENDA ITEM </w:t>
      </w:r>
      <w:r w:rsidR="00D81081">
        <w:rPr>
          <w:b/>
          <w:color w:val="C00000"/>
        </w:rPr>
        <w:t>9.1.1</w:t>
      </w:r>
      <w:r w:rsidRPr="00005CA4">
        <w:rPr>
          <w:b/>
          <w:color w:val="C00000"/>
        </w:rPr>
        <w:t xml:space="preserve"> </w:t>
      </w:r>
    </w:p>
    <w:p w:rsidR="0029448B" w:rsidRPr="0029448B" w:rsidRDefault="0029448B" w:rsidP="0029448B"/>
    <w:p w:rsidR="00D81081" w:rsidRDefault="00D81081" w:rsidP="0029448B">
      <w:pPr>
        <w:pStyle w:val="ECCParagraph"/>
        <w:rPr>
          <w:lang w:val="en-US"/>
        </w:rPr>
      </w:pPr>
      <w:r>
        <w:rPr>
          <w:lang w:val="en-US"/>
        </w:rPr>
        <w:t xml:space="preserve">9.1.1 – Resolution 205 (Rev.WRC-12) </w:t>
      </w:r>
      <w:r w:rsidRPr="00D81081">
        <w:rPr>
          <w:lang w:val="en-US"/>
        </w:rPr>
        <w:t>Protection of the systems operating in the mobile-satellite se</w:t>
      </w:r>
      <w:r>
        <w:rPr>
          <w:lang w:val="en-US"/>
        </w:rPr>
        <w:t>rvice in the band 406-406.1 MHz</w:t>
      </w:r>
    </w:p>
    <w:p w:rsidR="0029448B" w:rsidRPr="00A542CA" w:rsidRDefault="0029448B" w:rsidP="0029448B">
      <w:pPr>
        <w:pStyle w:val="ECCParagraph"/>
        <w:rPr>
          <w:lang w:val="en-US"/>
        </w:rPr>
      </w:pPr>
      <w:r w:rsidRPr="00A542CA">
        <w:rPr>
          <w:lang w:val="en-US"/>
        </w:rPr>
        <w:t>[</w:t>
      </w:r>
      <w:r w:rsidR="00D81081" w:rsidRPr="00D81081">
        <w:rPr>
          <w:i/>
          <w:lang w:val="en-US"/>
        </w:rPr>
        <w:t>Editor’s note: the t</w:t>
      </w:r>
      <w:r w:rsidRPr="00D81081">
        <w:rPr>
          <w:i/>
          <w:lang w:val="en-US"/>
        </w:rPr>
        <w:t xml:space="preserve">itle of </w:t>
      </w:r>
      <w:r w:rsidR="00D81081" w:rsidRPr="00D81081">
        <w:rPr>
          <w:i/>
          <w:lang w:val="en-US"/>
        </w:rPr>
        <w:t xml:space="preserve">this </w:t>
      </w:r>
      <w:r w:rsidRPr="00D81081">
        <w:rPr>
          <w:i/>
          <w:lang w:val="en-US"/>
        </w:rPr>
        <w:t xml:space="preserve">agenda item </w:t>
      </w:r>
      <w:r w:rsidR="00D81081" w:rsidRPr="00D81081">
        <w:rPr>
          <w:i/>
          <w:lang w:val="en-US"/>
        </w:rPr>
        <w:t>is extracted from Circular letter CA/201 since it is encompassed in R</w:t>
      </w:r>
      <w:r w:rsidRPr="00D81081">
        <w:rPr>
          <w:i/>
          <w:lang w:val="en-US"/>
        </w:rPr>
        <w:t>esolution 807 (WRC</w:t>
      </w:r>
      <w:r w:rsidR="00D81081" w:rsidRPr="00D81081">
        <w:rPr>
          <w:i/>
          <w:lang w:val="en-US"/>
        </w:rPr>
        <w:t>-</w:t>
      </w:r>
      <w:r w:rsidRPr="00D81081">
        <w:rPr>
          <w:i/>
          <w:lang w:val="en-US"/>
        </w:rPr>
        <w:t>12)</w:t>
      </w:r>
      <w:r w:rsidR="00D81081" w:rsidRPr="00D81081">
        <w:rPr>
          <w:i/>
          <w:lang w:val="en-US"/>
        </w:rPr>
        <w:t xml:space="preserve"> under agenda item 9.1.</w:t>
      </w:r>
      <w:r w:rsidRPr="00A542CA">
        <w:rPr>
          <w:lang w:val="en-US"/>
        </w:rPr>
        <w:t>]</w:t>
      </w:r>
    </w:p>
    <w:p w:rsidR="00B25463" w:rsidRDefault="0029448B" w:rsidP="0029448B">
      <w:pPr>
        <w:pStyle w:val="Heading1"/>
      </w:pPr>
      <w:r>
        <w:t>ISSUE</w:t>
      </w:r>
    </w:p>
    <w:p w:rsidR="00D81081" w:rsidRDefault="00D81081" w:rsidP="00D81081">
      <w:pPr>
        <w:pStyle w:val="ECCParagraph"/>
        <w:rPr>
          <w:lang w:val="en-US"/>
        </w:rPr>
      </w:pPr>
      <w:r>
        <w:rPr>
          <w:lang w:val="en-US"/>
        </w:rPr>
        <w:t xml:space="preserve">Resolution 205 (Rev.WRC-12) </w:t>
      </w:r>
      <w:r w:rsidR="00396015">
        <w:rPr>
          <w:lang w:val="en-US"/>
        </w:rPr>
        <w:t>“</w:t>
      </w:r>
      <w:r>
        <w:rPr>
          <w:lang w:val="en-US"/>
        </w:rPr>
        <w:t>resolves to invite ITU-R</w:t>
      </w:r>
    </w:p>
    <w:p w:rsidR="00396015" w:rsidRDefault="00396015" w:rsidP="00396015">
      <w:pPr>
        <w:pStyle w:val="ECCParagraph"/>
        <w:rPr>
          <w:lang w:val="en-US"/>
        </w:rPr>
      </w:pPr>
      <w:r w:rsidRPr="00396015">
        <w:rPr>
          <w:lang w:val="en-US"/>
        </w:rPr>
        <w:t>1</w:t>
      </w:r>
      <w:r>
        <w:rPr>
          <w:lang w:val="en-US"/>
        </w:rPr>
        <w:tab/>
      </w:r>
      <w:r w:rsidRPr="00396015">
        <w:rPr>
          <w:lang w:val="en-US"/>
        </w:rPr>
        <w:t>to conduct, and complete in time for WRC-15, the appropriate regulatory, technical and</w:t>
      </w:r>
      <w:r>
        <w:rPr>
          <w:lang w:val="en-US"/>
        </w:rPr>
        <w:t xml:space="preserve"> </w:t>
      </w:r>
      <w:r w:rsidRPr="00396015">
        <w:rPr>
          <w:lang w:val="en-US"/>
        </w:rPr>
        <w:t>operational studies with a view to ensuring the adequate protection of MSS systems in the</w:t>
      </w:r>
      <w:r>
        <w:rPr>
          <w:lang w:val="en-US"/>
        </w:rPr>
        <w:t xml:space="preserve"> </w:t>
      </w:r>
      <w:r w:rsidRPr="00396015">
        <w:rPr>
          <w:lang w:val="en-US"/>
        </w:rPr>
        <w:t>frequency band 406-406.1 MHz from any emissions that could cause harmful interference (see</w:t>
      </w:r>
      <w:r>
        <w:rPr>
          <w:lang w:val="en-US"/>
        </w:rPr>
        <w:t xml:space="preserve"> </w:t>
      </w:r>
      <w:r w:rsidRPr="00396015">
        <w:rPr>
          <w:lang w:val="en-US"/>
        </w:rPr>
        <w:t>No. 5.267), taking into account the current and future deployment of services in adjacent bands as</w:t>
      </w:r>
      <w:r>
        <w:rPr>
          <w:lang w:val="en-US"/>
        </w:rPr>
        <w:t xml:space="preserve"> </w:t>
      </w:r>
      <w:r w:rsidRPr="00396015">
        <w:rPr>
          <w:lang w:val="en-US"/>
        </w:rPr>
        <w:t>noted in considering f);</w:t>
      </w:r>
    </w:p>
    <w:p w:rsidR="00005CA4" w:rsidRDefault="00396015" w:rsidP="00396015">
      <w:pPr>
        <w:pStyle w:val="ECCParagraph"/>
        <w:rPr>
          <w:lang w:val="en-US"/>
        </w:rPr>
      </w:pPr>
      <w:r w:rsidRPr="00396015">
        <w:rPr>
          <w:lang w:val="en-US"/>
        </w:rPr>
        <w:t>2</w:t>
      </w:r>
      <w:r>
        <w:rPr>
          <w:lang w:val="en-US"/>
        </w:rPr>
        <w:tab/>
        <w:t>t</w:t>
      </w:r>
      <w:r w:rsidRPr="00396015">
        <w:rPr>
          <w:lang w:val="en-US"/>
        </w:rPr>
        <w:t>o consider whether there is a need for regulatory action, based on the studies carried out</w:t>
      </w:r>
      <w:r>
        <w:rPr>
          <w:lang w:val="en-US"/>
        </w:rPr>
        <w:t xml:space="preserve"> </w:t>
      </w:r>
      <w:r w:rsidRPr="00396015">
        <w:rPr>
          <w:lang w:val="en-US"/>
        </w:rPr>
        <w:t>under resolves 1, to facilitate the protection of MSS systems in the frequency band 406-406.1 MHz,</w:t>
      </w:r>
      <w:r>
        <w:rPr>
          <w:lang w:val="en-US"/>
        </w:rPr>
        <w:t xml:space="preserve"> </w:t>
      </w:r>
      <w:r w:rsidRPr="00396015">
        <w:rPr>
          <w:lang w:val="en-US"/>
        </w:rPr>
        <w:t>or whether it is sufficient to include the results of the above studies in appropriate ITU-R</w:t>
      </w:r>
      <w:r>
        <w:rPr>
          <w:lang w:val="en-US"/>
        </w:rPr>
        <w:t xml:space="preserve"> </w:t>
      </w:r>
      <w:r w:rsidRPr="00396015">
        <w:rPr>
          <w:lang w:val="en-US"/>
        </w:rPr>
        <w:t>Recommendations and/or Reports,</w:t>
      </w:r>
      <w:r w:rsidR="00D81081" w:rsidRPr="00D81081">
        <w:rPr>
          <w:lang w:val="en-US"/>
        </w:rPr>
        <w:t>”</w:t>
      </w:r>
    </w:p>
    <w:p w:rsidR="00005CA4" w:rsidRDefault="00005CA4" w:rsidP="00005CA4">
      <w:pPr>
        <w:pStyle w:val="Heading1"/>
      </w:pPr>
      <w:r w:rsidRPr="00B35593">
        <w:t>Preliminary CEPT position</w:t>
      </w:r>
      <w:r>
        <w:t xml:space="preserve"> </w:t>
      </w:r>
    </w:p>
    <w:p w:rsidR="00005CA4" w:rsidRPr="00396015" w:rsidRDefault="00396015" w:rsidP="00005CA4">
      <w:pPr>
        <w:pStyle w:val="ECCParagraph"/>
      </w:pPr>
      <w:r w:rsidRPr="00396015">
        <w:t xml:space="preserve">CEPT supports the on-going ITU-R studies with a view of having an adequate protection to the MSS band 406-406.1 MHz while not putting undue constraints to the </w:t>
      </w:r>
      <w:r>
        <w:t>r</w:t>
      </w:r>
      <w:r w:rsidRPr="00396015">
        <w:t xml:space="preserve">adio </w:t>
      </w:r>
      <w:r>
        <w:t>s</w:t>
      </w:r>
      <w:r w:rsidRPr="00396015">
        <w:t>ervices allocated in the adjacent frequency bands.</w:t>
      </w:r>
    </w:p>
    <w:p w:rsidR="009744B4" w:rsidRDefault="009744B4" w:rsidP="009744B4">
      <w:pPr>
        <w:pStyle w:val="Heading1"/>
      </w:pPr>
      <w:r w:rsidRPr="005F007F">
        <w:t xml:space="preserve">Background </w:t>
      </w:r>
    </w:p>
    <w:p w:rsidR="00396015" w:rsidRDefault="00396015" w:rsidP="00396015">
      <w:pPr>
        <w:pStyle w:val="ECCParagraph"/>
      </w:pPr>
      <w:r>
        <w:t xml:space="preserve">Recently, some Administrations announced their intent to </w:t>
      </w:r>
      <w:r w:rsidR="009723AD">
        <w:t xml:space="preserve">continue to </w:t>
      </w:r>
      <w:r>
        <w:t>deploy commercial land mobile systems operating in the vicinity of the 406-406.1 MHz MSS band</w:t>
      </w:r>
      <w:r w:rsidR="009723AD">
        <w:t xml:space="preserve"> to a greater extent</w:t>
      </w:r>
      <w:r>
        <w:t xml:space="preserve">, which has significantly enhanced concerns regarding possible harmful interference caused by adjacent band emissions. It is expected that other terrestrial operators (mainly in Europe but also anywhere in the world) ask for extended spectrum capacities in UHF band in the future. In any case, it is necessary to ensure compliance with RR No. 5.267, “Any emission capable of causing harmful interference to the authorized uses of the band 406-406.1 MHz </w:t>
      </w:r>
      <w:r w:rsidR="00874AA3">
        <w:t>is</w:t>
      </w:r>
      <w:r>
        <w:t xml:space="preserve"> prohibited”. </w:t>
      </w:r>
    </w:p>
    <w:p w:rsidR="00396015" w:rsidRDefault="00396015" w:rsidP="00396015">
      <w:pPr>
        <w:pStyle w:val="ECCParagraph"/>
      </w:pPr>
      <w:r>
        <w:t xml:space="preserve">According to Resolution 205 (Rev.WRC-12), the frequency band 406-406.1 MHz is constantly monitored. Measurements performed by the SARP (Search And Rescue Processor) instrument on-board the satellite </w:t>
      </w:r>
      <w:proofErr w:type="spellStart"/>
      <w:r>
        <w:t>Metop</w:t>
      </w:r>
      <w:proofErr w:type="spellEnd"/>
      <w:r>
        <w:t xml:space="preserve">-A at 830 km of altitude show that the minimum beacon power that can be received by the instrument depends highly on the area where the beacon is deployed and is transmitting.  For most of the areas on the Earth (mainly over oceans), a distress beacon can be correctly received and processed by the SARP even if its level is as low as –138 </w:t>
      </w:r>
      <w:proofErr w:type="spellStart"/>
      <w:r>
        <w:t>dBm</w:t>
      </w:r>
      <w:proofErr w:type="spellEnd"/>
      <w:r>
        <w:t xml:space="preserve">. On other areas like Europe or Asia, the distress beacons requires a minimum level of  –123 </w:t>
      </w:r>
      <w:proofErr w:type="spellStart"/>
      <w:r>
        <w:t>dBm</w:t>
      </w:r>
      <w:proofErr w:type="spellEnd"/>
      <w:r>
        <w:t xml:space="preserve"> and in some specific cases –118 </w:t>
      </w:r>
      <w:proofErr w:type="spellStart"/>
      <w:r>
        <w:t>dBm</w:t>
      </w:r>
      <w:proofErr w:type="spellEnd"/>
      <w:r>
        <w:t xml:space="preserve"> to be received on-board due to an </w:t>
      </w:r>
      <w:r w:rsidR="009723AD">
        <w:t xml:space="preserve">increased </w:t>
      </w:r>
      <w:r>
        <w:t xml:space="preserve">level of radio noise. It is expected that other measurements will be performed on METOP B to be launched mid-September 2012. </w:t>
      </w:r>
      <w:r w:rsidR="009723AD">
        <w:t>Existing geostationary MSG-1 and MSG-2 meteorological satellites also carr</w:t>
      </w:r>
      <w:r w:rsidR="007D1733">
        <w:t>y</w:t>
      </w:r>
      <w:r w:rsidR="009723AD">
        <w:t xml:space="preserve"> on-board 406 MHz transponders, which has allowed the computation of radio noise levels in this band. </w:t>
      </w:r>
      <w:r>
        <w:t>In addition, following the MSG-3 launch on 5</w:t>
      </w:r>
      <w:r w:rsidRPr="00396015">
        <w:rPr>
          <w:vertAlign w:val="superscript"/>
        </w:rPr>
        <w:t>th</w:t>
      </w:r>
      <w:r>
        <w:t xml:space="preserve"> July 2012, additional results are expected since MSG-3 is </w:t>
      </w:r>
      <w:r w:rsidR="009723AD">
        <w:t xml:space="preserve">also </w:t>
      </w:r>
      <w:r>
        <w:t>carrying a 406 MHz transponder.</w:t>
      </w:r>
    </w:p>
    <w:p w:rsidR="00396015" w:rsidRDefault="00396015" w:rsidP="00396015">
      <w:pPr>
        <w:pStyle w:val="ECCParagraph"/>
      </w:pPr>
      <w:r>
        <w:t xml:space="preserve">The current analysis shows that it can be considered that this noise (measured in the 406-406.1 MHz band) has increased by 15 to 20 </w:t>
      </w:r>
      <w:proofErr w:type="spellStart"/>
      <w:r>
        <w:t>dB.</w:t>
      </w:r>
      <w:proofErr w:type="spellEnd"/>
      <w:r>
        <w:t xml:space="preserve"> Other observations performed at 401-402 MHz (due to the ADCS – Advanced Data Collection System - instrument embarked on </w:t>
      </w:r>
      <w:proofErr w:type="spellStart"/>
      <w:r>
        <w:t>Metop</w:t>
      </w:r>
      <w:proofErr w:type="spellEnd"/>
      <w:r>
        <w:t xml:space="preserve">-A satellite) have shown that the noise was increasing in the same range (around 15 to 20 dB) above the same areas, mainly Europe and Asia. This noise issue in UHF band addresses the frequency range between 390 MHz and 420 MHz and may be </w:t>
      </w:r>
      <w:r>
        <w:lastRenderedPageBreak/>
        <w:t>derived from the operation of terrestrial systems deployed in many countries. These measurements explain that the protection of the 406-406.1 MHz band has to be carefully examined with a specific concern within Europe and Asia in order for weak distress signals to be received and processed.</w:t>
      </w:r>
    </w:p>
    <w:p w:rsidR="00396015" w:rsidRDefault="00396015" w:rsidP="00396015">
      <w:pPr>
        <w:pStyle w:val="ECCParagraph"/>
      </w:pPr>
      <w:r>
        <w:t xml:space="preserve">Recommendation ITU-R M.1478-2 provides the latest protection requirements for the various types of instruments mounted on board operational satellites receiving EPIRB signals in the frequency band 406-406.1 MHz against both broadband out-of-band emissions and narrowband spurious emissions. This Recommendation should be the technical basis of all further calculation concerning the protection of the frequency band 406-406.1 </w:t>
      </w:r>
      <w:proofErr w:type="spellStart"/>
      <w:r>
        <w:t>MHz.</w:t>
      </w:r>
      <w:proofErr w:type="spellEnd"/>
      <w:r>
        <w:t xml:space="preserve"> However, studies are needed to adequately address the consequence of aggregate emissions from a large number of transmitters operating in adjacent bands and the consequent risk to space receivers intended to detect low-power distress-beacon transmissions. Emissions in adjacent bands, if not adequately controlled, could raise the level of noise captured by the </w:t>
      </w:r>
      <w:proofErr w:type="spellStart"/>
      <w:r>
        <w:t>Cospas-Sarsat</w:t>
      </w:r>
      <w:proofErr w:type="spellEnd"/>
      <w:r>
        <w:t xml:space="preserve"> systems and hinder their abilities to detect and/or relay signal from beacons. </w:t>
      </w:r>
    </w:p>
    <w:p w:rsidR="00396015" w:rsidRDefault="00396015" w:rsidP="00396015">
      <w:pPr>
        <w:pStyle w:val="ECCParagraph"/>
      </w:pPr>
      <w:r>
        <w:t xml:space="preserve">The preliminary working document </w:t>
      </w:r>
      <w:r w:rsidR="00103142">
        <w:t xml:space="preserve">developed </w:t>
      </w:r>
      <w:r>
        <w:t xml:space="preserve">within ITU-R WP 4C provides the SARP susceptibility mask for both narrow band emissions and for wide band emissions. This mask is valid for the Low Earth Orbiting component of the </w:t>
      </w:r>
      <w:proofErr w:type="spellStart"/>
      <w:r>
        <w:t>Cospas-Sarsat</w:t>
      </w:r>
      <w:proofErr w:type="spellEnd"/>
      <w:r>
        <w:t xml:space="preserve"> system. Future input documents are expected to provide similar analysis for the GEO and MEO components.</w:t>
      </w:r>
    </w:p>
    <w:p w:rsidR="009744B4" w:rsidRDefault="009744B4" w:rsidP="009744B4">
      <w:pPr>
        <w:pStyle w:val="Heading1"/>
      </w:pPr>
      <w:r w:rsidRPr="005F007F">
        <w:t>List of relevant documents</w:t>
      </w:r>
    </w:p>
    <w:p w:rsidR="009744B4" w:rsidRPr="009744B4" w:rsidRDefault="009744B4" w:rsidP="009744B4">
      <w:pPr>
        <w:pStyle w:val="ECCParagraph"/>
        <w:rPr>
          <w:lang w:val="fr-FR"/>
        </w:rPr>
      </w:pPr>
      <w:r w:rsidRPr="009744B4">
        <w:rPr>
          <w:lang w:val="fr-FR"/>
        </w:rPr>
        <w:t>ITU-Documentation (</w:t>
      </w:r>
      <w:proofErr w:type="spellStart"/>
      <w:r w:rsidRPr="009744B4">
        <w:rPr>
          <w:lang w:val="fr-FR"/>
        </w:rPr>
        <w:t>Recommendations</w:t>
      </w:r>
      <w:proofErr w:type="spellEnd"/>
      <w:r w:rsidRPr="009744B4">
        <w:rPr>
          <w:lang w:val="fr-FR"/>
        </w:rPr>
        <w:t xml:space="preserve">, Reports, </w:t>
      </w:r>
      <w:proofErr w:type="spellStart"/>
      <w:r w:rsidRPr="009744B4">
        <w:rPr>
          <w:lang w:val="fr-FR"/>
        </w:rPr>
        <w:t>other</w:t>
      </w:r>
      <w:proofErr w:type="spellEnd"/>
      <w:r w:rsidRPr="009744B4">
        <w:rPr>
          <w:lang w:val="fr-FR"/>
        </w:rPr>
        <w:t>)</w:t>
      </w:r>
    </w:p>
    <w:p w:rsidR="00396015" w:rsidRDefault="00396015" w:rsidP="00396015">
      <w:pPr>
        <w:pStyle w:val="ECCParagraph"/>
        <w:rPr>
          <w:lang w:val="en-US"/>
        </w:rPr>
      </w:pPr>
      <w:r w:rsidRPr="00396015">
        <w:rPr>
          <w:lang w:val="en-US"/>
        </w:rPr>
        <w:t>Recommendation ITU-R M.1478-2</w:t>
      </w:r>
      <w:r>
        <w:rPr>
          <w:lang w:val="en-US"/>
        </w:rPr>
        <w:t xml:space="preserve"> “</w:t>
      </w:r>
      <w:r w:rsidRPr="00396015">
        <w:rPr>
          <w:lang w:val="en-US"/>
        </w:rPr>
        <w:t xml:space="preserve">Protection criteria for </w:t>
      </w:r>
      <w:proofErr w:type="spellStart"/>
      <w:r w:rsidRPr="00396015">
        <w:rPr>
          <w:lang w:val="en-US"/>
        </w:rPr>
        <w:t>Cospas-Sarsat</w:t>
      </w:r>
      <w:proofErr w:type="spellEnd"/>
      <w:r w:rsidRPr="00396015">
        <w:rPr>
          <w:lang w:val="en-US"/>
        </w:rPr>
        <w:t xml:space="preserve"> search and rescue instruments in the band 406-406.1 MHz</w:t>
      </w:r>
      <w:r>
        <w:rPr>
          <w:lang w:val="en-US"/>
        </w:rPr>
        <w:t>”</w:t>
      </w:r>
    </w:p>
    <w:p w:rsidR="00617D78" w:rsidRPr="00396015" w:rsidRDefault="00617D78" w:rsidP="00F52AE8">
      <w:pPr>
        <w:pStyle w:val="ECCParagraph"/>
        <w:rPr>
          <w:lang w:val="en-US"/>
        </w:rPr>
      </w:pPr>
      <w:r w:rsidRPr="00617D78">
        <w:rPr>
          <w:lang w:val="en-US"/>
        </w:rPr>
        <w:t>Report ITU</w:t>
      </w:r>
      <w:r>
        <w:rPr>
          <w:lang w:val="en-US"/>
        </w:rPr>
        <w:t>-</w:t>
      </w:r>
      <w:r w:rsidRPr="00617D78">
        <w:rPr>
          <w:lang w:val="en-US"/>
        </w:rPr>
        <w:t xml:space="preserve">R SM.2258 “Overview of interference source detection and </w:t>
      </w:r>
      <w:proofErr w:type="spellStart"/>
      <w:r w:rsidRPr="00617D78">
        <w:rPr>
          <w:lang w:val="en-US"/>
        </w:rPr>
        <w:t>geolocation</w:t>
      </w:r>
      <w:proofErr w:type="spellEnd"/>
      <w:r w:rsidRPr="00617D78">
        <w:rPr>
          <w:lang w:val="en-US"/>
        </w:rPr>
        <w:t xml:space="preserve"> affecting the 406.0-406.1 MHz band used by emerge</w:t>
      </w:r>
      <w:r>
        <w:rPr>
          <w:lang w:val="en-US"/>
        </w:rPr>
        <w:t>ncy beacons”</w:t>
      </w:r>
      <w:r w:rsidR="00F52AE8">
        <w:rPr>
          <w:lang w:val="en-US"/>
        </w:rPr>
        <w:t xml:space="preserve"> (see </w:t>
      </w:r>
      <w:hyperlink r:id="rId12" w:history="1">
        <w:r w:rsidR="00F52AE8" w:rsidRPr="00F52AE8">
          <w:rPr>
            <w:rStyle w:val="Hyperlink"/>
            <w:lang w:val="en-US"/>
          </w:rPr>
          <w:t>Revision 1 to Document 1/35</w:t>
        </w:r>
      </w:hyperlink>
      <w:r w:rsidR="00F52AE8">
        <w:rPr>
          <w:lang w:val="en-US"/>
        </w:rPr>
        <w:t>)</w:t>
      </w:r>
    </w:p>
    <w:p w:rsidR="00396015" w:rsidRDefault="00396015" w:rsidP="00396015">
      <w:pPr>
        <w:pStyle w:val="ECCParagraph"/>
        <w:rPr>
          <w:lang w:val="en-US"/>
        </w:rPr>
      </w:pPr>
      <w:r>
        <w:rPr>
          <w:lang w:val="en-US"/>
        </w:rPr>
        <w:t>Annex 4 to Document 4C/39 “</w:t>
      </w:r>
      <w:r w:rsidRPr="00396015">
        <w:rPr>
          <w:lang w:val="en-US"/>
        </w:rPr>
        <w:t>Working document towards a preliminary draft new Report ITU-R M.[AI_9.1.1] - WRC-15 Agenda item 9.1.1 - Protection of the 406-406.1 MHz band</w:t>
      </w:r>
      <w:r>
        <w:rPr>
          <w:lang w:val="en-US"/>
        </w:rPr>
        <w:t>”</w:t>
      </w:r>
    </w:p>
    <w:p w:rsidR="009744B4" w:rsidRPr="00103142" w:rsidRDefault="00F9792E" w:rsidP="009744B4">
      <w:pPr>
        <w:pStyle w:val="ECCParagraph"/>
        <w:rPr>
          <w:lang w:val="en-US"/>
        </w:rPr>
      </w:pPr>
      <w:r w:rsidRPr="00F9792E">
        <w:rPr>
          <w:lang w:val="en-US"/>
        </w:rPr>
        <w:t>CEPT and/or ECC Documentation (Decisions, Recommendations, Reports)</w:t>
      </w:r>
    </w:p>
    <w:p w:rsidR="009744B4" w:rsidRPr="00103142" w:rsidRDefault="00F9792E" w:rsidP="009744B4">
      <w:pPr>
        <w:pStyle w:val="ECCParagraph"/>
        <w:rPr>
          <w:lang w:val="en-US"/>
        </w:rPr>
      </w:pPr>
      <w:r w:rsidRPr="00F9792E">
        <w:rPr>
          <w:lang w:val="en-US"/>
        </w:rPr>
        <w:t>EU Documentation (Directives, Decisions, Recommendations, other), if applicable</w:t>
      </w:r>
    </w:p>
    <w:p w:rsidR="00617D78" w:rsidRPr="00103142" w:rsidRDefault="00F9792E" w:rsidP="009744B4">
      <w:pPr>
        <w:pStyle w:val="ECCParagraph"/>
        <w:rPr>
          <w:lang w:val="en-US"/>
        </w:rPr>
      </w:pPr>
      <w:r w:rsidRPr="00F9792E">
        <w:rPr>
          <w:lang w:val="en-US"/>
        </w:rPr>
        <w:t>[</w:t>
      </w:r>
      <w:r w:rsidRPr="00F9792E">
        <w:rPr>
          <w:i/>
          <w:lang w:val="en-US"/>
        </w:rPr>
        <w:t xml:space="preserve">Editor’s note: </w:t>
      </w:r>
      <w:r w:rsidR="00103142">
        <w:rPr>
          <w:i/>
          <w:lang w:val="en-US"/>
        </w:rPr>
        <w:t xml:space="preserve">relevant </w:t>
      </w:r>
      <w:r w:rsidRPr="00F9792E">
        <w:rPr>
          <w:i/>
          <w:lang w:val="en-US"/>
        </w:rPr>
        <w:t>COSPAS-SARSAT documentation may be referenced in the future</w:t>
      </w:r>
      <w:r w:rsidR="00103142">
        <w:rPr>
          <w:i/>
          <w:lang w:val="en-US"/>
        </w:rPr>
        <w:t>, if appropriate</w:t>
      </w:r>
      <w:r w:rsidRPr="00F9792E">
        <w:rPr>
          <w:i/>
          <w:lang w:val="en-US"/>
        </w:rPr>
        <w:t>.</w:t>
      </w:r>
      <w:r w:rsidRPr="00F9792E">
        <w:rPr>
          <w:lang w:val="en-US"/>
        </w:rPr>
        <w:t>]</w:t>
      </w:r>
    </w:p>
    <w:p w:rsidR="009744B4" w:rsidRDefault="009744B4" w:rsidP="009744B4">
      <w:pPr>
        <w:pStyle w:val="Heading1"/>
      </w:pPr>
      <w:r w:rsidRPr="005F007F">
        <w:t>Actions to be taken</w:t>
      </w:r>
    </w:p>
    <w:p w:rsidR="009744B4" w:rsidRDefault="00F326CD" w:rsidP="00005CA4">
      <w:pPr>
        <w:pStyle w:val="ECCParagraph"/>
      </w:pPr>
      <w:r w:rsidRPr="00F326CD">
        <w:t>In order to facilitate the technical studies and in support of ITU-R studies, WP4C sent liaison statements to WP5A, 5C, 7B and 7C in order to obtain the corresponding technical characteristics (power, antenna gain) and the degree of deployment (density of systems per km</w:t>
      </w:r>
      <w:r w:rsidR="00F9792E" w:rsidRPr="00F9792E">
        <w:rPr>
          <w:vertAlign w:val="superscript"/>
        </w:rPr>
        <w:t>2</w:t>
      </w:r>
      <w:r w:rsidRPr="00F326CD">
        <w:t xml:space="preserve"> per country, region and/or any other adequate representative figure) of the corresponding services in the corresponding frequency bands. Administrations are kindly requested to provide the corresponding characteristics.</w:t>
      </w:r>
    </w:p>
    <w:p w:rsidR="009744B4" w:rsidRDefault="009744B4" w:rsidP="009744B4">
      <w:pPr>
        <w:pStyle w:val="Heading1"/>
      </w:pPr>
      <w:r w:rsidRPr="002F7B8D">
        <w:t>Relevant information from outside CEPT</w:t>
      </w:r>
    </w:p>
    <w:p w:rsidR="009744B4" w:rsidRDefault="009744B4" w:rsidP="009744B4">
      <w:pPr>
        <w:pStyle w:val="Heading2"/>
      </w:pPr>
      <w:r w:rsidRPr="009744B4">
        <w:t>European Union</w:t>
      </w:r>
    </w:p>
    <w:p w:rsidR="0017055A" w:rsidRPr="0017055A" w:rsidRDefault="0017055A" w:rsidP="0017055A">
      <w:pPr>
        <w:pStyle w:val="ECCParagraph"/>
        <w:rPr>
          <w:lang w:val="en-US"/>
        </w:rPr>
      </w:pPr>
    </w:p>
    <w:p w:rsidR="009744B4" w:rsidRDefault="009744B4" w:rsidP="009744B4">
      <w:pPr>
        <w:pStyle w:val="Heading2"/>
      </w:pPr>
      <w:r w:rsidRPr="002F7B8D">
        <w:lastRenderedPageBreak/>
        <w:t>Regional telecommunication organisations</w:t>
      </w:r>
      <w:r>
        <w:t xml:space="preserve"> </w:t>
      </w:r>
    </w:p>
    <w:p w:rsidR="009744B4"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APT (date of proposal)</w:t>
      </w:r>
    </w:p>
    <w:p w:rsidR="009744B4" w:rsidRPr="002F7B8D"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ATU (date of proposal)</w:t>
      </w:r>
    </w:p>
    <w:p w:rsidR="009744B4" w:rsidRPr="002F7B8D"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Arab Group (date of proposal)</w:t>
      </w:r>
    </w:p>
    <w:p w:rsidR="009744B4" w:rsidRPr="002F7B8D"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CITEL</w:t>
      </w:r>
      <w:r>
        <w:rPr>
          <w:lang w:val="en-US"/>
        </w:rPr>
        <w:t xml:space="preserve"> </w:t>
      </w:r>
      <w:r w:rsidRPr="002F7B8D">
        <w:rPr>
          <w:lang w:val="en-US"/>
        </w:rPr>
        <w:t>(date of proposal)</w:t>
      </w:r>
    </w:p>
    <w:p w:rsidR="009744B4" w:rsidRPr="002F7B8D"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RCC (date of proposal)</w:t>
      </w:r>
    </w:p>
    <w:p w:rsidR="009744B4" w:rsidRPr="009744B4" w:rsidRDefault="009744B4" w:rsidP="009744B4">
      <w:pPr>
        <w:pStyle w:val="ECCParagraph"/>
        <w:rPr>
          <w:lang w:val="en-US"/>
        </w:rPr>
      </w:pPr>
    </w:p>
    <w:p w:rsidR="00F735BC" w:rsidRPr="002F7B8D" w:rsidRDefault="00F735BC" w:rsidP="00F735BC">
      <w:pPr>
        <w:pStyle w:val="Heading2"/>
      </w:pPr>
      <w:r w:rsidRPr="002F7B8D">
        <w:t>International organisations</w:t>
      </w:r>
    </w:p>
    <w:p w:rsidR="00F735BC" w:rsidRDefault="00F735BC" w:rsidP="00F735BC">
      <w:pPr>
        <w:pStyle w:val="ECCParagraph"/>
        <w:rPr>
          <w:lang w:val="en-US"/>
        </w:rPr>
      </w:pPr>
    </w:p>
    <w:p w:rsidR="00F735BC" w:rsidRPr="002F7B8D" w:rsidRDefault="00F735BC" w:rsidP="00F735BC">
      <w:pPr>
        <w:pStyle w:val="ECCParagraph"/>
        <w:rPr>
          <w:lang w:val="en-US"/>
        </w:rPr>
      </w:pPr>
      <w:r w:rsidRPr="002F7B8D">
        <w:rPr>
          <w:lang w:val="en-US"/>
        </w:rPr>
        <w:t>IATA (date of proposal)</w:t>
      </w:r>
    </w:p>
    <w:p w:rsidR="00F735BC" w:rsidRPr="002F7B8D" w:rsidRDefault="00F735BC" w:rsidP="00F735BC">
      <w:pPr>
        <w:pStyle w:val="ECCParagraph"/>
        <w:rPr>
          <w:lang w:val="en-US"/>
        </w:rPr>
      </w:pPr>
    </w:p>
    <w:p w:rsidR="00F735BC" w:rsidRPr="002F7B8D" w:rsidRDefault="00F735BC" w:rsidP="00F735BC">
      <w:pPr>
        <w:pStyle w:val="ECCParagraph"/>
        <w:rPr>
          <w:lang w:val="en-US"/>
        </w:rPr>
      </w:pPr>
      <w:r w:rsidRPr="002F7B8D">
        <w:rPr>
          <w:lang w:val="en-US"/>
        </w:rPr>
        <w:t>ICAO</w:t>
      </w:r>
      <w:r>
        <w:rPr>
          <w:lang w:val="en-US"/>
        </w:rPr>
        <w:t xml:space="preserve"> </w:t>
      </w:r>
      <w:r w:rsidRPr="006E671C">
        <w:rPr>
          <w:lang w:val="en-US"/>
        </w:rPr>
        <w:t>(date of proposal)</w:t>
      </w:r>
    </w:p>
    <w:p w:rsidR="00F735BC" w:rsidRPr="002F7B8D" w:rsidRDefault="00F735BC" w:rsidP="00F735BC">
      <w:pPr>
        <w:pStyle w:val="ECCParagraph"/>
        <w:rPr>
          <w:lang w:val="en-US"/>
        </w:rPr>
      </w:pPr>
    </w:p>
    <w:p w:rsidR="00F735BC" w:rsidRPr="002F7B8D" w:rsidRDefault="00F735BC" w:rsidP="00F735BC">
      <w:pPr>
        <w:pStyle w:val="ECCParagraph"/>
        <w:rPr>
          <w:lang w:val="en-US"/>
        </w:rPr>
      </w:pPr>
      <w:r w:rsidRPr="002F7B8D">
        <w:rPr>
          <w:lang w:val="en-US"/>
        </w:rPr>
        <w:t>IMO</w:t>
      </w:r>
      <w:r>
        <w:rPr>
          <w:lang w:val="en-US"/>
        </w:rPr>
        <w:t xml:space="preserve"> </w:t>
      </w:r>
      <w:r w:rsidRPr="002F7B8D">
        <w:rPr>
          <w:lang w:val="en-US"/>
        </w:rPr>
        <w:t>(date of proposal)</w:t>
      </w:r>
    </w:p>
    <w:p w:rsidR="00F735BC" w:rsidRPr="002F7B8D" w:rsidRDefault="00F735BC" w:rsidP="00F735BC">
      <w:pPr>
        <w:pStyle w:val="ECCParagraph"/>
        <w:rPr>
          <w:lang w:val="en-US"/>
        </w:rPr>
      </w:pPr>
    </w:p>
    <w:p w:rsidR="00F735BC" w:rsidRPr="002F7B8D" w:rsidRDefault="00F735BC" w:rsidP="00F735BC">
      <w:pPr>
        <w:pStyle w:val="ECCParagraph"/>
        <w:rPr>
          <w:lang w:val="en-US"/>
        </w:rPr>
      </w:pPr>
      <w:r w:rsidRPr="002F7B8D">
        <w:rPr>
          <w:lang w:val="en-US"/>
        </w:rPr>
        <w:t>NATO</w:t>
      </w:r>
      <w:r>
        <w:rPr>
          <w:lang w:val="en-US"/>
        </w:rPr>
        <w:t xml:space="preserve"> </w:t>
      </w:r>
      <w:r w:rsidRPr="002F7B8D">
        <w:rPr>
          <w:lang w:val="en-US"/>
        </w:rPr>
        <w:t>(date of proposal)</w:t>
      </w:r>
    </w:p>
    <w:p w:rsidR="00F735BC" w:rsidRPr="002F7B8D" w:rsidRDefault="00F735BC" w:rsidP="00F735BC">
      <w:pPr>
        <w:pStyle w:val="ECCParagraph"/>
        <w:rPr>
          <w:lang w:val="en-US"/>
        </w:rPr>
      </w:pPr>
    </w:p>
    <w:p w:rsidR="005834A4" w:rsidRPr="005834A4" w:rsidRDefault="005834A4" w:rsidP="005834A4">
      <w:pPr>
        <w:pStyle w:val="ECCParagraph"/>
        <w:rPr>
          <w:lang w:val="en-US"/>
        </w:rPr>
      </w:pPr>
      <w:r w:rsidRPr="005834A4">
        <w:rPr>
          <w:lang w:val="en-US"/>
        </w:rPr>
        <w:t>SFCG (June 2012)</w:t>
      </w:r>
    </w:p>
    <w:p w:rsidR="00F735BC" w:rsidRPr="002F7B8D" w:rsidRDefault="005834A4" w:rsidP="005834A4">
      <w:pPr>
        <w:pStyle w:val="ECCParagraph"/>
        <w:rPr>
          <w:lang w:val="en-US"/>
        </w:rPr>
      </w:pPr>
      <w:r w:rsidRPr="005834A4">
        <w:rPr>
          <w:lang w:val="en-US"/>
        </w:rPr>
        <w:t>SFCG supports the development of the relevant protection criteria and/or regulatory provisions against emissions from adjacent bands and their possible inclusion into an ITU–R Recommendation or Report.</w:t>
      </w:r>
    </w:p>
    <w:p w:rsidR="00F735BC" w:rsidRPr="002F7B8D" w:rsidRDefault="00F735BC" w:rsidP="00F735BC">
      <w:pPr>
        <w:pStyle w:val="ECCParagraph"/>
        <w:rPr>
          <w:lang w:val="en-US"/>
        </w:rPr>
      </w:pPr>
      <w:r w:rsidRPr="002F7B8D">
        <w:rPr>
          <w:lang w:val="en-US"/>
        </w:rPr>
        <w:t>WMO and EUMETNET (date of proposal)</w:t>
      </w:r>
    </w:p>
    <w:p w:rsidR="009744B4" w:rsidRPr="009744B4" w:rsidRDefault="009744B4" w:rsidP="009744B4">
      <w:pPr>
        <w:pStyle w:val="ECCParagraph"/>
        <w:rPr>
          <w:lang w:val="en-US"/>
        </w:rPr>
      </w:pPr>
    </w:p>
    <w:p w:rsidR="00F735BC" w:rsidRPr="002F7B8D" w:rsidRDefault="00F735BC" w:rsidP="00F735BC">
      <w:pPr>
        <w:pStyle w:val="Heading2"/>
      </w:pPr>
      <w:r w:rsidRPr="002F7B8D">
        <w:t>Regional organisations</w:t>
      </w:r>
    </w:p>
    <w:p w:rsidR="00F735BC" w:rsidRDefault="00F735BC" w:rsidP="00F735BC">
      <w:pPr>
        <w:pStyle w:val="ECCParagraph"/>
        <w:rPr>
          <w:lang w:val="en-US"/>
        </w:rPr>
      </w:pPr>
    </w:p>
    <w:p w:rsidR="00F735BC" w:rsidRDefault="00F735BC" w:rsidP="00F735BC">
      <w:pPr>
        <w:pStyle w:val="ECCParagraph"/>
        <w:rPr>
          <w:lang w:val="en-US"/>
        </w:rPr>
      </w:pPr>
      <w:r w:rsidRPr="002F7B8D">
        <w:rPr>
          <w:lang w:val="en-US"/>
        </w:rPr>
        <w:lastRenderedPageBreak/>
        <w:t>ESA</w:t>
      </w:r>
      <w:r>
        <w:rPr>
          <w:lang w:val="en-US"/>
        </w:rPr>
        <w:t xml:space="preserve"> </w:t>
      </w:r>
      <w:r w:rsidRPr="002F7B8D">
        <w:rPr>
          <w:lang w:val="en-US"/>
        </w:rPr>
        <w:t>(date of proposal)</w:t>
      </w:r>
    </w:p>
    <w:p w:rsidR="00F735BC" w:rsidRPr="002F7B8D" w:rsidRDefault="00F735BC" w:rsidP="00F735BC">
      <w:pPr>
        <w:pStyle w:val="ECCParagraph"/>
        <w:rPr>
          <w:lang w:val="en-US"/>
        </w:rPr>
      </w:pPr>
    </w:p>
    <w:p w:rsidR="00F735BC" w:rsidRDefault="00F735BC" w:rsidP="00F735BC">
      <w:pPr>
        <w:pStyle w:val="ECCParagraph"/>
        <w:rPr>
          <w:lang w:val="en-US"/>
        </w:rPr>
      </w:pPr>
      <w:r w:rsidRPr="002F7B8D">
        <w:rPr>
          <w:lang w:val="en-US"/>
        </w:rPr>
        <w:t>EUMETNET (date of proposal)</w:t>
      </w:r>
    </w:p>
    <w:p w:rsidR="00F735BC" w:rsidRPr="002F7B8D" w:rsidRDefault="00F735BC" w:rsidP="00F735BC">
      <w:pPr>
        <w:pStyle w:val="ECCParagraph"/>
        <w:rPr>
          <w:lang w:val="en-US"/>
        </w:rPr>
      </w:pPr>
    </w:p>
    <w:p w:rsidR="00F735BC" w:rsidRPr="002F7B8D" w:rsidRDefault="00F735BC" w:rsidP="00F735BC">
      <w:pPr>
        <w:pStyle w:val="ECCParagraph"/>
        <w:rPr>
          <w:lang w:val="en-US"/>
        </w:rPr>
      </w:pPr>
      <w:proofErr w:type="spellStart"/>
      <w:r w:rsidRPr="002F7B8D">
        <w:rPr>
          <w:lang w:val="en-US"/>
        </w:rPr>
        <w:t>Eurocontrol</w:t>
      </w:r>
      <w:proofErr w:type="spellEnd"/>
      <w:r>
        <w:rPr>
          <w:lang w:val="en-US"/>
        </w:rPr>
        <w:t xml:space="preserve"> </w:t>
      </w:r>
      <w:r w:rsidRPr="002F7B8D">
        <w:rPr>
          <w:lang w:val="en-US"/>
        </w:rPr>
        <w:t>(date of proposal)</w:t>
      </w:r>
    </w:p>
    <w:p w:rsidR="009744B4" w:rsidRPr="009744B4" w:rsidRDefault="009744B4" w:rsidP="00005CA4">
      <w:pPr>
        <w:pStyle w:val="ECCParagraph"/>
        <w:rPr>
          <w:lang w:val="en-US"/>
        </w:rPr>
      </w:pPr>
    </w:p>
    <w:p w:rsidR="009744B4" w:rsidRDefault="009744B4" w:rsidP="00005CA4">
      <w:pPr>
        <w:pStyle w:val="ECCParagraph"/>
      </w:pPr>
    </w:p>
    <w:p w:rsidR="008A54FC" w:rsidRPr="000A672F" w:rsidRDefault="008A54FC" w:rsidP="008A54FC">
      <w:pPr>
        <w:pStyle w:val="ECCParagraph"/>
      </w:pPr>
    </w:p>
    <w:sectPr w:rsidR="008A54FC" w:rsidRPr="000A672F" w:rsidSect="008A54FC">
      <w:headerReference w:type="even" r:id="rId13"/>
      <w:headerReference w:type="default" r:id="rId14"/>
      <w:headerReference w:type="first" r:id="rId15"/>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A2F" w:rsidRDefault="009E3A2F" w:rsidP="008A54FC">
      <w:r>
        <w:separator/>
      </w:r>
    </w:p>
  </w:endnote>
  <w:endnote w:type="continuationSeparator" w:id="0">
    <w:p w:rsidR="009E3A2F" w:rsidRDefault="009E3A2F"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Courier New"/>
    <w:panose1 w:val="020B0704020202020204"/>
    <w:charset w:val="00"/>
    <w:family w:val="auto"/>
    <w:pitch w:val="variable"/>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A2F" w:rsidRDefault="009E3A2F" w:rsidP="008A54FC">
      <w:r>
        <w:separator/>
      </w:r>
    </w:p>
  </w:footnote>
  <w:footnote w:type="continuationSeparator" w:id="0">
    <w:p w:rsidR="009E3A2F" w:rsidRDefault="009E3A2F"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EB" w:rsidRPr="007C5F95" w:rsidRDefault="005C10EB">
    <w:pPr>
      <w:pStyle w:val="Header"/>
      <w:rPr>
        <w:b w:val="0"/>
        <w:lang w:val="da-DK"/>
      </w:rPr>
    </w:pPr>
    <w:r w:rsidRPr="007C5F95">
      <w:rPr>
        <w:b w:val="0"/>
        <w:lang w:val="da-DK"/>
      </w:rPr>
      <w:t>Draft ECC REPORT XXX</w:t>
    </w:r>
  </w:p>
  <w:p w:rsidR="005C10EB" w:rsidRPr="007C5F95" w:rsidRDefault="005C10EB">
    <w:pPr>
      <w:pStyle w:val="Header"/>
      <w:rPr>
        <w:szCs w:val="16"/>
        <w:lang w:val="da-DK"/>
      </w:rPr>
    </w:pPr>
    <w:r>
      <w:rPr>
        <w:szCs w:val="16"/>
        <w:lang w:val="da-DK"/>
      </w:rPr>
      <w:t xml:space="preserve">Page </w:t>
    </w:r>
    <w:r w:rsidR="00E66AEE">
      <w:fldChar w:fldCharType="begin"/>
    </w:r>
    <w:r>
      <w:instrText xml:space="preserve"> PAGE  \* Arabic  \* MERGEFORMAT </w:instrText>
    </w:r>
    <w:r w:rsidR="00E66AEE">
      <w:fldChar w:fldCharType="separate"/>
    </w:r>
    <w:r>
      <w:rPr>
        <w:noProof/>
        <w:szCs w:val="16"/>
        <w:lang w:val="da-DK"/>
      </w:rPr>
      <w:t>2</w:t>
    </w:r>
    <w:r w:rsidR="00E66AEE">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EB" w:rsidRPr="007C5F95" w:rsidRDefault="005C10EB" w:rsidP="008A54FC">
    <w:pPr>
      <w:pStyle w:val="Header"/>
      <w:jc w:val="right"/>
      <w:rPr>
        <w:b w:val="0"/>
        <w:lang w:val="da-DK"/>
      </w:rPr>
    </w:pPr>
    <w:r w:rsidRPr="007C5F95">
      <w:rPr>
        <w:b w:val="0"/>
        <w:lang w:val="da-DK"/>
      </w:rPr>
      <w:t>Draft ECC REPORT XXX</w:t>
    </w:r>
  </w:p>
  <w:p w:rsidR="005C10EB" w:rsidRPr="007C5F95" w:rsidRDefault="005C10EB" w:rsidP="008A54FC">
    <w:pPr>
      <w:pStyle w:val="Header"/>
      <w:jc w:val="right"/>
      <w:rPr>
        <w:szCs w:val="16"/>
        <w:lang w:val="da-DK"/>
      </w:rPr>
    </w:pPr>
    <w:r>
      <w:rPr>
        <w:szCs w:val="16"/>
        <w:lang w:val="da-DK"/>
      </w:rPr>
      <w:t xml:space="preserve">Page </w:t>
    </w:r>
    <w:r w:rsidR="00E66AEE">
      <w:fldChar w:fldCharType="begin"/>
    </w:r>
    <w:r>
      <w:instrText xml:space="preserve"> PAGE  \* Arabic  \* MERGEFORMAT </w:instrText>
    </w:r>
    <w:r w:rsidR="00E66AEE">
      <w:fldChar w:fldCharType="separate"/>
    </w:r>
    <w:r>
      <w:rPr>
        <w:noProof/>
        <w:szCs w:val="16"/>
        <w:lang w:val="da-DK"/>
      </w:rPr>
      <w:t>3</w:t>
    </w:r>
    <w:r w:rsidR="00E66AEE">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EB" w:rsidRPr="005F4F01" w:rsidRDefault="005F4F01">
    <w:pPr>
      <w:pStyle w:val="Header"/>
      <w:rPr>
        <w:szCs w:val="16"/>
        <w:lang w:val="en-GB"/>
      </w:rPr>
    </w:pPr>
    <w:r w:rsidRPr="005F4F01">
      <w:rPr>
        <w:lang w:val="en-GB"/>
      </w:rPr>
      <w:t>Draft CEPT Brief on AI (XYZ)</w:t>
    </w:r>
    <w:r w:rsidR="005C10EB" w:rsidRPr="005F4F01">
      <w:rPr>
        <w:lang w:val="en-GB"/>
      </w:rPr>
      <w:t xml:space="preserve">  </w:t>
    </w:r>
    <w:r w:rsidR="005C10EB" w:rsidRPr="005F4F01">
      <w:rPr>
        <w:szCs w:val="16"/>
        <w:lang w:val="en-GB"/>
      </w:rPr>
      <w:t xml:space="preserve">Page </w:t>
    </w:r>
    <w:r w:rsidR="00E66AEE">
      <w:fldChar w:fldCharType="begin"/>
    </w:r>
    <w:r w:rsidR="005C10EB">
      <w:instrText xml:space="preserve"> PAGE  \* Arabic  \* MERGEFORMAT </w:instrText>
    </w:r>
    <w:r w:rsidR="00E66AEE">
      <w:fldChar w:fldCharType="separate"/>
    </w:r>
    <w:r w:rsidR="00C729CB" w:rsidRPr="00C729CB">
      <w:rPr>
        <w:noProof/>
        <w:szCs w:val="16"/>
        <w:lang w:val="en-GB"/>
      </w:rPr>
      <w:t>4</w:t>
    </w:r>
    <w:r w:rsidR="00E66AEE">
      <w:rPr>
        <w:noProof/>
        <w:szCs w:val="16"/>
        <w:lang w:val="da-DK"/>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EB" w:rsidRPr="005F4F01" w:rsidRDefault="005F4F01" w:rsidP="008A54FC">
    <w:pPr>
      <w:pStyle w:val="Header"/>
      <w:jc w:val="right"/>
      <w:rPr>
        <w:szCs w:val="16"/>
        <w:lang w:val="en-GB"/>
      </w:rPr>
    </w:pPr>
    <w:r w:rsidRPr="005F4F01">
      <w:rPr>
        <w:lang w:val="en-GB"/>
      </w:rPr>
      <w:t xml:space="preserve">Draft CEPT Brief on AI </w:t>
    </w:r>
    <w:r>
      <w:rPr>
        <w:lang w:val="en-GB"/>
      </w:rPr>
      <w:t xml:space="preserve">(XYZ) </w:t>
    </w:r>
    <w:r w:rsidR="005C10EB" w:rsidRPr="005F4F01">
      <w:rPr>
        <w:lang w:val="en-GB"/>
      </w:rPr>
      <w:t xml:space="preserve">-  </w:t>
    </w:r>
    <w:r w:rsidR="005C10EB" w:rsidRPr="005F4F01">
      <w:rPr>
        <w:szCs w:val="16"/>
        <w:lang w:val="en-GB"/>
      </w:rPr>
      <w:t xml:space="preserve">Page </w:t>
    </w:r>
    <w:r w:rsidR="00E66AEE">
      <w:fldChar w:fldCharType="begin"/>
    </w:r>
    <w:r w:rsidR="005C10EB">
      <w:instrText xml:space="preserve"> PAGE  \* Arabic  \* MERGEFORMAT </w:instrText>
    </w:r>
    <w:r w:rsidR="00E66AEE">
      <w:fldChar w:fldCharType="separate"/>
    </w:r>
    <w:r w:rsidR="00C729CB" w:rsidRPr="00C729CB">
      <w:rPr>
        <w:noProof/>
        <w:szCs w:val="16"/>
        <w:lang w:val="en-GB"/>
      </w:rPr>
      <w:t>5</w:t>
    </w:r>
    <w:r w:rsidR="00E66AEE">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EB" w:rsidRPr="001223D0" w:rsidRDefault="005C10EB"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4">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6">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8">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1">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2">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3">
    <w:nsid w:val="66E36C84"/>
    <w:multiLevelType w:val="multilevel"/>
    <w:tmpl w:val="FCEC7FBC"/>
    <w:numStyleLink w:val="ECCBullets"/>
  </w:abstractNum>
  <w:abstractNum w:abstractNumId="14">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4"/>
  </w:num>
  <w:num w:numId="3">
    <w:abstractNumId w:val="15"/>
  </w:num>
  <w:num w:numId="4">
    <w:abstractNumId w:val="8"/>
  </w:num>
  <w:num w:numId="5">
    <w:abstractNumId w:val="2"/>
  </w:num>
  <w:num w:numId="6">
    <w:abstractNumId w:val="6"/>
  </w:num>
  <w:num w:numId="7">
    <w:abstractNumId w:val="6"/>
    <w:lvlOverride w:ilvl="0">
      <w:startOverride w:val="1"/>
    </w:lvlOverride>
  </w:num>
  <w:num w:numId="8">
    <w:abstractNumId w:val="0"/>
  </w:num>
  <w:num w:numId="9">
    <w:abstractNumId w:val="13"/>
  </w:num>
  <w:num w:numId="10">
    <w:abstractNumId w:val="11"/>
  </w:num>
  <w:num w:numId="11">
    <w:abstractNumId w:val="7"/>
  </w:num>
  <w:num w:numId="12">
    <w:abstractNumId w:val="3"/>
  </w:num>
  <w:num w:numId="13">
    <w:abstractNumId w:val="12"/>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2"/>
  </w:compat>
  <w:rsids>
    <w:rsidRoot w:val="007A565C"/>
    <w:rsid w:val="00005CA4"/>
    <w:rsid w:val="000256CD"/>
    <w:rsid w:val="00034C50"/>
    <w:rsid w:val="00067793"/>
    <w:rsid w:val="00082DD7"/>
    <w:rsid w:val="000C028F"/>
    <w:rsid w:val="000E42F5"/>
    <w:rsid w:val="00103142"/>
    <w:rsid w:val="00162AA8"/>
    <w:rsid w:val="0017055A"/>
    <w:rsid w:val="00183FE0"/>
    <w:rsid w:val="001A37D8"/>
    <w:rsid w:val="00274F84"/>
    <w:rsid w:val="002930E9"/>
    <w:rsid w:val="0029448B"/>
    <w:rsid w:val="002F5286"/>
    <w:rsid w:val="003343AF"/>
    <w:rsid w:val="00396015"/>
    <w:rsid w:val="004110CA"/>
    <w:rsid w:val="00550D79"/>
    <w:rsid w:val="00557B5A"/>
    <w:rsid w:val="00560C68"/>
    <w:rsid w:val="005834A4"/>
    <w:rsid w:val="00594186"/>
    <w:rsid w:val="005C10EB"/>
    <w:rsid w:val="005E5445"/>
    <w:rsid w:val="005F4F01"/>
    <w:rsid w:val="00601448"/>
    <w:rsid w:val="00616092"/>
    <w:rsid w:val="00617D78"/>
    <w:rsid w:val="006F14A2"/>
    <w:rsid w:val="00734A4F"/>
    <w:rsid w:val="00763BA3"/>
    <w:rsid w:val="00767BB2"/>
    <w:rsid w:val="00780376"/>
    <w:rsid w:val="00797D4C"/>
    <w:rsid w:val="007A565C"/>
    <w:rsid w:val="007D1733"/>
    <w:rsid w:val="00827592"/>
    <w:rsid w:val="008503C4"/>
    <w:rsid w:val="00874AA3"/>
    <w:rsid w:val="008933D5"/>
    <w:rsid w:val="008A54FC"/>
    <w:rsid w:val="008B70CD"/>
    <w:rsid w:val="008F6CDE"/>
    <w:rsid w:val="00941A83"/>
    <w:rsid w:val="00941FD2"/>
    <w:rsid w:val="009723AD"/>
    <w:rsid w:val="009744B4"/>
    <w:rsid w:val="009904F1"/>
    <w:rsid w:val="009B602F"/>
    <w:rsid w:val="009E3A2F"/>
    <w:rsid w:val="009E47EB"/>
    <w:rsid w:val="00A065E4"/>
    <w:rsid w:val="00A076B5"/>
    <w:rsid w:val="00A95ACB"/>
    <w:rsid w:val="00A9705B"/>
    <w:rsid w:val="00AA086A"/>
    <w:rsid w:val="00B2226E"/>
    <w:rsid w:val="00B25463"/>
    <w:rsid w:val="00B30D3B"/>
    <w:rsid w:val="00B432D4"/>
    <w:rsid w:val="00C729CB"/>
    <w:rsid w:val="00C75FDA"/>
    <w:rsid w:val="00C86C46"/>
    <w:rsid w:val="00C875F3"/>
    <w:rsid w:val="00D81081"/>
    <w:rsid w:val="00D83D05"/>
    <w:rsid w:val="00DC782F"/>
    <w:rsid w:val="00DD057B"/>
    <w:rsid w:val="00DF2C67"/>
    <w:rsid w:val="00E211AD"/>
    <w:rsid w:val="00E66AEE"/>
    <w:rsid w:val="00E71AE7"/>
    <w:rsid w:val="00EA6088"/>
    <w:rsid w:val="00F326CD"/>
    <w:rsid w:val="00F52AE8"/>
    <w:rsid w:val="00F735BC"/>
    <w:rsid w:val="00F93115"/>
    <w:rsid w:val="00F96759"/>
    <w:rsid w:val="00F9792E"/>
    <w:rsid w:val="00FE2453"/>
  </w:rsids>
  <m:mathPr>
    <m:mathFont m:val="Cambria Math"/>
    <m:brkBin m:val="before"/>
    <m:brkBinSub m:val="--"/>
    <m:smallFrac m:val="0"/>
    <m:dispDef m:val="0"/>
    <m:lMargin m:val="0"/>
    <m:rMargin m:val="0"/>
    <m:defJc m:val="centerGroup"/>
    <m:wrapRight/>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29448B"/>
    <w:pPr>
      <w:keepNext/>
      <w:spacing w:before="600" w:after="240"/>
      <w:ind w:left="360" w:hanging="36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tabs>
        <w:tab w:val="num" w:pos="576"/>
      </w:tabs>
      <w:spacing w:before="480" w:after="240"/>
      <w:ind w:left="576" w:hanging="576"/>
      <w:outlineLvl w:val="1"/>
    </w:pPr>
    <w:rPr>
      <w:rFonts w:cs="Arial"/>
      <w:b/>
      <w:bCs/>
      <w:iCs/>
      <w:caps/>
      <w:szCs w:val="28"/>
    </w:rPr>
  </w:style>
  <w:style w:type="paragraph" w:styleId="Heading3">
    <w:name w:val="heading 3"/>
    <w:aliases w:val="ECC Heading 3"/>
    <w:basedOn w:val="Normal"/>
    <w:next w:val="ECCParagraph"/>
    <w:autoRedefine/>
    <w:qFormat/>
    <w:rsid w:val="009E47EB"/>
    <w:pPr>
      <w:keepNext/>
      <w:tabs>
        <w:tab w:val="num" w:pos="720"/>
      </w:tabs>
      <w:spacing w:before="360" w:after="120"/>
      <w:ind w:left="720" w:hanging="720"/>
      <w:outlineLvl w:val="2"/>
    </w:pPr>
    <w:rPr>
      <w:rFonts w:cs="Arial"/>
      <w:b/>
      <w:bCs/>
      <w:szCs w:val="26"/>
    </w:rPr>
  </w:style>
  <w:style w:type="paragraph" w:styleId="Heading4">
    <w:name w:val="heading 4"/>
    <w:aliases w:val="ECC Heading 4"/>
    <w:basedOn w:val="Normal"/>
    <w:next w:val="ECCParagraph"/>
    <w:autoRedefine/>
    <w:qFormat/>
    <w:rsid w:val="00767BB2"/>
    <w:pPr>
      <w:tabs>
        <w:tab w:val="num" w:pos="864"/>
      </w:tabs>
      <w:spacing w:before="360" w:after="120"/>
      <w:ind w:left="864" w:hanging="864"/>
      <w:outlineLvl w:val="3"/>
    </w:pPr>
    <w:rPr>
      <w:rFonts w:cs="Arial"/>
      <w:bCs/>
      <w:i/>
      <w:color w:val="D2232A"/>
      <w:szCs w:val="26"/>
    </w:rPr>
  </w:style>
  <w:style w:type="paragraph" w:styleId="Heading5">
    <w:name w:val="heading 5"/>
    <w:basedOn w:val="Normal"/>
    <w:next w:val="Normal"/>
    <w:qFormat/>
    <w:rsid w:val="009E47EB"/>
    <w:pPr>
      <w:tabs>
        <w:tab w:val="num" w:pos="1008"/>
      </w:tabs>
      <w:spacing w:before="240" w:after="60"/>
      <w:ind w:left="1008" w:hanging="1008"/>
      <w:outlineLvl w:val="4"/>
    </w:pPr>
    <w:rPr>
      <w:b/>
      <w:bCs/>
      <w:i/>
      <w:iCs/>
      <w:sz w:val="26"/>
      <w:szCs w:val="26"/>
    </w:rPr>
  </w:style>
  <w:style w:type="paragraph" w:styleId="Heading6">
    <w:name w:val="heading 6"/>
    <w:basedOn w:val="Normal"/>
    <w:next w:val="Normal"/>
    <w:qFormat/>
    <w:rsid w:val="009E47EB"/>
    <w:pPr>
      <w:tabs>
        <w:tab w:val="num" w:pos="1152"/>
      </w:tabs>
      <w:spacing w:before="240" w:after="60"/>
      <w:ind w:left="1152" w:hanging="1152"/>
      <w:outlineLvl w:val="5"/>
    </w:pPr>
    <w:rPr>
      <w:b/>
      <w:bCs/>
      <w:sz w:val="22"/>
      <w:szCs w:val="22"/>
    </w:rPr>
  </w:style>
  <w:style w:type="paragraph" w:styleId="Heading7">
    <w:name w:val="heading 7"/>
    <w:basedOn w:val="Normal"/>
    <w:next w:val="Normal"/>
    <w:qFormat/>
    <w:rsid w:val="009E47EB"/>
    <w:pPr>
      <w:tabs>
        <w:tab w:val="num" w:pos="1296"/>
      </w:tabs>
      <w:spacing w:before="240" w:after="60"/>
      <w:ind w:left="1296" w:hanging="1296"/>
      <w:outlineLvl w:val="6"/>
    </w:pPr>
    <w:rPr>
      <w:sz w:val="24"/>
    </w:rPr>
  </w:style>
  <w:style w:type="paragraph" w:styleId="Heading8">
    <w:name w:val="heading 8"/>
    <w:basedOn w:val="Normal"/>
    <w:next w:val="Normal"/>
    <w:qFormat/>
    <w:rsid w:val="009E47EB"/>
    <w:pPr>
      <w:tabs>
        <w:tab w:val="num" w:pos="1440"/>
      </w:tabs>
      <w:spacing w:before="240" w:after="60"/>
      <w:ind w:left="1440" w:hanging="1440"/>
      <w:outlineLvl w:val="7"/>
    </w:pPr>
    <w:rPr>
      <w:i/>
      <w:iCs/>
      <w:sz w:val="24"/>
    </w:rPr>
  </w:style>
  <w:style w:type="paragraph" w:styleId="Heading9">
    <w:name w:val="heading 9"/>
    <w:basedOn w:val="Normal"/>
    <w:next w:val="Normal"/>
    <w:qFormat/>
    <w:rsid w:val="009E47EB"/>
    <w:pPr>
      <w:tabs>
        <w:tab w:val="num" w:pos="1584"/>
      </w:tabs>
      <w:spacing w:before="240" w:after="60"/>
      <w:ind w:left="1584" w:hanging="1584"/>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Texte de bulles C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06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tu.int/md/R12-SG01-C-0035/e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nts%20VALLET\CEPT\CPG15\PTB\2012_09\Etudes\Brief%20Template_Template%20for%20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A9676-EC82-4782-8AEF-917F706B7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 Template_Template for CEPT Brief.dotx</Template>
  <TotalTime>3</TotalTime>
  <Pages>5</Pages>
  <Words>1139</Words>
  <Characters>6498</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New ECC Report Style</vt:lpstr>
      <vt:lpstr>New ECC Report Style</vt:lpstr>
    </vt:vector>
  </TitlesOfParts>
  <Company>ECO</Company>
  <LinksUpToDate>false</LinksUpToDate>
  <CharactersWithSpaces>7622</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Anonym</dc:creator>
  <dc:description>This template is used as guidance to draft ECC Reports.</dc:description>
  <cp:lastModifiedBy>wesley.milton</cp:lastModifiedBy>
  <cp:revision>8</cp:revision>
  <cp:lastPrinted>1901-01-01T00:00:00Z</cp:lastPrinted>
  <dcterms:created xsi:type="dcterms:W3CDTF">2012-09-07T06:00:00Z</dcterms:created>
  <dcterms:modified xsi:type="dcterms:W3CDTF">2013-01-14T12:23:00Z</dcterms:modified>
</cp:coreProperties>
</file>